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1B85589E"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w:t>
      </w:r>
      <w:r w:rsidR="00362558">
        <w:rPr>
          <w:rFonts w:eastAsia="Times New Roman" w:cstheme="minorHAnsi"/>
          <w:b/>
          <w:bCs/>
          <w:sz w:val="28"/>
          <w:szCs w:val="28"/>
        </w:rPr>
        <w:t>1</w:t>
      </w:r>
      <w:r w:rsidR="00352BF1">
        <w:rPr>
          <w:rFonts w:eastAsia="Times New Roman" w:cstheme="minorHAnsi"/>
          <w:b/>
          <w:bCs/>
          <w:sz w:val="28"/>
          <w:szCs w:val="28"/>
        </w:rPr>
        <w:t>2</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0BA043D2" w14:textId="77777777" w:rsidR="004D4C15" w:rsidRPr="00362558" w:rsidRDefault="004D4C15" w:rsidP="006C5560">
      <w:pPr>
        <w:spacing w:after="0" w:line="240" w:lineRule="auto"/>
        <w:jc w:val="center"/>
        <w:rPr>
          <w:rFonts w:eastAsia="Times New Roman" w:cstheme="minorHAnsi"/>
          <w:b/>
          <w:bCs/>
          <w:sz w:val="20"/>
          <w:szCs w:val="20"/>
        </w:rPr>
      </w:pPr>
    </w:p>
    <w:p w14:paraId="14748DDC" w14:textId="06F3512F" w:rsidR="00352BF1" w:rsidRPr="00352BF1" w:rsidRDefault="006B1385" w:rsidP="00352BF1">
      <w:pPr>
        <w:pStyle w:val="Standard"/>
        <w:numPr>
          <w:ilvl w:val="0"/>
          <w:numId w:val="26"/>
        </w:numPr>
        <w:rPr>
          <w:rFonts w:asciiTheme="minorHAnsi" w:hAnsiTheme="minorHAnsi" w:cstheme="minorHAnsi"/>
          <w:b/>
          <w:bCs/>
          <w:szCs w:val="20"/>
        </w:rPr>
      </w:pPr>
      <w:r w:rsidRPr="00352BF1">
        <w:rPr>
          <w:rFonts w:asciiTheme="minorHAnsi" w:hAnsiTheme="minorHAnsi" w:cstheme="minorHAnsi"/>
          <w:szCs w:val="20"/>
        </w:rPr>
        <w:t>Zamawiający zleca, a Wykonawca przyjmuje do wykonania roboty budowlane polegające na</w:t>
      </w:r>
      <w:r w:rsidR="00352BF1">
        <w:rPr>
          <w:rFonts w:asciiTheme="minorHAnsi" w:hAnsiTheme="minorHAnsi" w:cstheme="minorHAnsi"/>
          <w:szCs w:val="20"/>
        </w:rPr>
        <w:t xml:space="preserve"> wykonaniu zadania pn.</w:t>
      </w:r>
      <w:r w:rsidRPr="00352BF1">
        <w:rPr>
          <w:rFonts w:asciiTheme="minorHAnsi" w:hAnsiTheme="minorHAnsi" w:cstheme="minorHAnsi"/>
          <w:szCs w:val="20"/>
        </w:rPr>
        <w:t xml:space="preserve"> </w:t>
      </w:r>
      <w:r w:rsidR="00352BF1" w:rsidRPr="00352BF1">
        <w:rPr>
          <w:rFonts w:asciiTheme="minorHAnsi" w:eastAsia="TimesNewRomanPS-BoldMT" w:hAnsiTheme="minorHAnsi" w:cstheme="minorHAnsi"/>
          <w:bCs/>
          <w:szCs w:val="20"/>
          <w:lang w:eastAsia="en-US"/>
        </w:rPr>
        <w:t>„</w:t>
      </w:r>
      <w:r w:rsidR="00352BF1" w:rsidRPr="00352BF1">
        <w:rPr>
          <w:rFonts w:asciiTheme="minorHAnsi" w:hAnsiTheme="minorHAnsi" w:cstheme="minorHAnsi"/>
          <w:szCs w:val="20"/>
        </w:rPr>
        <w:t>Remonty nawierzchni drogowych na terenie Gminy Ozimek.</w:t>
      </w:r>
      <w:r w:rsidR="00352BF1" w:rsidRPr="00352BF1">
        <w:rPr>
          <w:rFonts w:asciiTheme="minorHAnsi" w:hAnsiTheme="minorHAnsi" w:cstheme="minorHAnsi"/>
          <w:bCs/>
          <w:szCs w:val="20"/>
        </w:rPr>
        <w:t>”</w:t>
      </w:r>
    </w:p>
    <w:p w14:paraId="5AE2D589" w14:textId="773D2F76" w:rsidR="006B1385" w:rsidRPr="00362558" w:rsidRDefault="006C5560" w:rsidP="00362558">
      <w:pPr>
        <w:numPr>
          <w:ilvl w:val="0"/>
          <w:numId w:val="26"/>
        </w:numPr>
        <w:spacing w:after="0" w:line="240" w:lineRule="auto"/>
        <w:jc w:val="both"/>
        <w:rPr>
          <w:rFonts w:cstheme="minorHAnsi"/>
          <w:bCs/>
          <w:sz w:val="20"/>
          <w:szCs w:val="20"/>
        </w:rPr>
      </w:pPr>
      <w:r w:rsidRPr="004D4C15">
        <w:rPr>
          <w:rFonts w:eastAsia="Times New Roman" w:cstheme="minorHAnsi"/>
          <w:sz w:val="20"/>
          <w:szCs w:val="20"/>
          <w:lang w:eastAsia="en-GB"/>
        </w:rPr>
        <w:t>Roboty będące przedmiotem zmówienia będą wykonane przy użyciu sprzętu, urządzeń</w:t>
      </w:r>
      <w:r w:rsidRPr="00362558">
        <w:rPr>
          <w:rFonts w:eastAsia="Times New Roman" w:cstheme="minorHAnsi"/>
          <w:sz w:val="20"/>
          <w:szCs w:val="20"/>
          <w:lang w:eastAsia="en-GB"/>
        </w:rPr>
        <w:t xml:space="preserve"> i materiałów o jakości odpowiadającej stosownym przepisom, normom, standardom i warunkom podanym w specyfikacji istotnych warunków zamówienia.</w:t>
      </w:r>
    </w:p>
    <w:p w14:paraId="5A8D2869" w14:textId="69C6DB14"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załączoną dokumentacja techniczną, przedmiarem robót, STWiOR</w:t>
      </w:r>
      <w:r w:rsidR="00482A96" w:rsidRPr="00362558">
        <w:rPr>
          <w:rFonts w:cstheme="minorHAnsi"/>
          <w:bCs/>
          <w:sz w:val="20"/>
          <w:szCs w:val="20"/>
        </w:rPr>
        <w:t>.</w:t>
      </w:r>
      <w:r w:rsidRPr="00362558">
        <w:rPr>
          <w:rFonts w:cstheme="minorHAnsi"/>
          <w:bCs/>
          <w:sz w:val="20"/>
          <w:szCs w:val="20"/>
        </w:rPr>
        <w:t xml:space="preserve"> </w:t>
      </w:r>
    </w:p>
    <w:p w14:paraId="11DF113A" w14:textId="5FB7AF03" w:rsidR="006B1385" w:rsidRPr="00362558"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Pr="00362558">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p>
    <w:p w14:paraId="5ADD4F6F" w14:textId="6D615244"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(t.j. Dz. U. z 2020 r. poz. 215 z późn. zm.) oraz aktów 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4D4C15"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374CD0ED" w14:textId="77777777" w:rsidR="004D4C15" w:rsidRPr="00362558" w:rsidRDefault="004D4C15" w:rsidP="004D4C15">
      <w:pPr>
        <w:spacing w:after="0" w:line="240" w:lineRule="auto"/>
        <w:ind w:left="360"/>
        <w:jc w:val="both"/>
        <w:rPr>
          <w:rFonts w:cstheme="minorHAnsi"/>
          <w:bCs/>
          <w:sz w:val="20"/>
          <w:szCs w:val="20"/>
        </w:rPr>
      </w:pP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18F7F522"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72B2A6D5" w14:textId="7B83D571"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4A63724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0D6B32FD" w14:textId="77777777" w:rsidR="00A665A8" w:rsidRDefault="00A665A8" w:rsidP="00A665A8">
      <w:pPr>
        <w:spacing w:after="0"/>
        <w:ind w:left="426"/>
        <w:jc w:val="both"/>
        <w:rPr>
          <w:rFonts w:cstheme="minorHAnsi"/>
          <w:sz w:val="20"/>
          <w:szCs w:val="20"/>
        </w:rPr>
      </w:pPr>
    </w:p>
    <w:p w14:paraId="1E5674D5" w14:textId="77777777" w:rsidR="004D4C15" w:rsidRPr="00362558" w:rsidRDefault="004D4C15" w:rsidP="00A665A8">
      <w:pPr>
        <w:spacing w:after="0"/>
        <w:ind w:left="426"/>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1C5A84F6" w14:textId="6F90047F"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3C2002FB" w14:textId="72572E51"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31F3359" w14:textId="1B88E8CD"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lastRenderedPageBreak/>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F01A0D8" w14:textId="70E2442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0C844B33"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4A459701" w14:textId="271F6984"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ABED308" w14:textId="77777777" w:rsidR="003F022F" w:rsidRPr="00362558" w:rsidRDefault="003F022F" w:rsidP="00AD5393">
      <w:pPr>
        <w:tabs>
          <w:tab w:val="num" w:pos="709"/>
        </w:tabs>
        <w:spacing w:after="0" w:line="240" w:lineRule="auto"/>
        <w:rPr>
          <w:rFonts w:cstheme="minorHAnsi"/>
          <w:sz w:val="20"/>
          <w:szCs w:val="20"/>
        </w:rPr>
      </w:pPr>
    </w:p>
    <w:p w14:paraId="35B2D9A9"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7106693C" w14:textId="1A22ED3D"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eastAsia="Lucida Sans Unicode" w:cstheme="minorHAnsi"/>
          <w:sz w:val="20"/>
          <w:szCs w:val="20"/>
          <w:lang w:eastAsia="en-US"/>
        </w:rPr>
        <w:t>realizowani</w:t>
      </w:r>
      <w:r w:rsidR="00B71511" w:rsidRPr="00362558">
        <w:rPr>
          <w:rFonts w:eastAsia="Lucida Sans Unicode" w:cstheme="minorHAnsi"/>
          <w:sz w:val="20"/>
          <w:szCs w:val="20"/>
          <w:lang w:eastAsia="en-US"/>
        </w:rPr>
        <w:t>a</w:t>
      </w:r>
      <w:r w:rsidRPr="00362558">
        <w:rPr>
          <w:rFonts w:eastAsia="Lucida Sans Unicode" w:cstheme="minorHAnsi"/>
          <w:sz w:val="20"/>
          <w:szCs w:val="20"/>
          <w:lang w:eastAsia="en-US"/>
        </w:rPr>
        <w:t xml:space="preserve"> objętych treścią niniejszej umowy pisemnych poleceń Zamawiającego;</w:t>
      </w:r>
    </w:p>
    <w:p w14:paraId="238A2285" w14:textId="3CA6E2C5"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84FEAF3" w14:textId="6D24C2B8"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p>
    <w:p w14:paraId="67D83680" w14:textId="30D05F65"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F207F6B" w14:textId="35655D7D"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0CC4E6FE" w14:textId="6425075B"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78DE5DCF" w14:textId="0B73EF7F"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05C1CF9B" w14:textId="3ADF812A"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7461518" w14:textId="2B6AF36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56A424D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5FEF8829" w14:textId="0D2394F0"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034785D5" w14:textId="29156659"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69E5F64C" w14:textId="0CC05869"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25C7C14E"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7B4F9B2F" w14:textId="6C9ECF9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42CB3833"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0937DA0B" w14:textId="6B5344C3" w:rsidR="00A051D7" w:rsidRPr="00362558" w:rsidRDefault="00A051D7"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lastRenderedPageBreak/>
        <w:t>sporządzenia planu Bezpieczeństwa i Ochrony Zdrowia na budowie (BIOZ)</w:t>
      </w:r>
      <w:r w:rsidR="00757715" w:rsidRPr="00362558">
        <w:rPr>
          <w:rFonts w:cstheme="minorHAnsi"/>
          <w:sz w:val="20"/>
          <w:szCs w:val="20"/>
        </w:rPr>
        <w:t>.</w:t>
      </w:r>
    </w:p>
    <w:p w14:paraId="3EB47F7C" w14:textId="77777777" w:rsidR="00A051D7" w:rsidRPr="00362558" w:rsidRDefault="00A051D7" w:rsidP="00A051D7">
      <w:pPr>
        <w:spacing w:after="0" w:line="240" w:lineRule="auto"/>
        <w:ind w:left="207"/>
        <w:jc w:val="both"/>
        <w:rPr>
          <w:rFonts w:cstheme="minorHAnsi"/>
          <w:sz w:val="20"/>
          <w:szCs w:val="20"/>
        </w:rPr>
      </w:pPr>
    </w:p>
    <w:p w14:paraId="2D8B8753" w14:textId="1E2184CD"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7777777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41A6138"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(t.j. Dz.U. z </w:t>
      </w:r>
      <w:r w:rsidR="00AC22AA" w:rsidRPr="00362558">
        <w:rPr>
          <w:rFonts w:cstheme="minorHAnsi"/>
          <w:sz w:val="20"/>
          <w:szCs w:val="20"/>
        </w:rPr>
        <w:t xml:space="preserve">2019 </w:t>
      </w:r>
      <w:r w:rsidRPr="00362558">
        <w:rPr>
          <w:rFonts w:cstheme="minorHAnsi"/>
          <w:sz w:val="20"/>
          <w:szCs w:val="20"/>
        </w:rPr>
        <w:t>r. poz.</w:t>
      </w:r>
      <w:r w:rsidR="00AC22AA" w:rsidRPr="00362558">
        <w:rPr>
          <w:rFonts w:cstheme="minorHAnsi"/>
          <w:sz w:val="20"/>
          <w:szCs w:val="20"/>
        </w:rPr>
        <w:t>1040 z późn. zm.</w:t>
      </w:r>
      <w:r w:rsidRPr="00362558">
        <w:rPr>
          <w:rFonts w:cstheme="minorHAnsi"/>
          <w:sz w:val="20"/>
          <w:szCs w:val="20"/>
        </w:rPr>
        <w:t>) wskazanych 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2257B7F2"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(t.j.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winny być zanominizowane.</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362558" w:rsidRDefault="006E434D" w:rsidP="006E434D">
      <w:pPr>
        <w:spacing w:after="0" w:line="240" w:lineRule="auto"/>
        <w:jc w:val="both"/>
        <w:rPr>
          <w:rFonts w:cstheme="minorHAnsi"/>
          <w:sz w:val="20"/>
          <w:szCs w:val="20"/>
          <w:u w:val="single"/>
        </w:rPr>
      </w:pPr>
    </w:p>
    <w:p w14:paraId="538810AE" w14:textId="77777777" w:rsidR="006C5560" w:rsidRDefault="006C5560" w:rsidP="003C1F7F">
      <w:pPr>
        <w:spacing w:after="0" w:line="240" w:lineRule="auto"/>
        <w:rPr>
          <w:rFonts w:eastAsia="Times New Roman" w:cstheme="minorHAnsi"/>
          <w:b/>
          <w:i/>
          <w:sz w:val="20"/>
          <w:szCs w:val="20"/>
        </w:rPr>
      </w:pPr>
    </w:p>
    <w:p w14:paraId="75CCC2ED" w14:textId="77777777" w:rsidR="004D4C15" w:rsidRPr="00362558" w:rsidRDefault="004D4C15"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3872D3FE"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4B5EFD1A" w14:textId="77777777" w:rsidR="004D4C15" w:rsidRPr="00362558" w:rsidRDefault="004D4C15" w:rsidP="006C5560">
      <w:pPr>
        <w:spacing w:after="0" w:line="240" w:lineRule="auto"/>
        <w:jc w:val="center"/>
        <w:rPr>
          <w:rFonts w:eastAsia="Times New Roman" w:cstheme="minorHAnsi"/>
          <w:b/>
          <w:sz w:val="20"/>
          <w:szCs w:val="20"/>
        </w:rPr>
      </w:pPr>
    </w:p>
    <w:p w14:paraId="283B7CA9" w14:textId="7777777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a w przypadku jego nieobecności osoba 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620A3CB" w14:textId="77777777" w:rsidR="004D4C15" w:rsidRPr="00362558" w:rsidRDefault="004D4C15" w:rsidP="006C5560">
      <w:pPr>
        <w:spacing w:after="0" w:line="240" w:lineRule="auto"/>
        <w:jc w:val="center"/>
        <w:rPr>
          <w:rFonts w:eastAsia="Times New Roman" w:cstheme="minorHAnsi"/>
          <w:b/>
          <w:sz w:val="20"/>
          <w:szCs w:val="20"/>
        </w:rPr>
      </w:pPr>
    </w:p>
    <w:p w14:paraId="3E7BD9E9"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2F7DF5C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lastRenderedPageBreak/>
        <w:t xml:space="preserve">Gotowość do odbioru końcowego zgłasza Wykonawca w formie pisemnej. Skutki zaniechania tego obowiązku będą obciążać Wykonawcę. </w:t>
      </w:r>
    </w:p>
    <w:p w14:paraId="1A9F553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7E5846D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362558" w:rsidRDefault="000A1E5C" w:rsidP="00362558">
      <w:pPr>
        <w:numPr>
          <w:ilvl w:val="0"/>
          <w:numId w:val="27"/>
        </w:numPr>
        <w:spacing w:after="0" w:line="240" w:lineRule="auto"/>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003F022F"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Pr="00362558" w:rsidRDefault="0034645C" w:rsidP="006C5560">
      <w:pPr>
        <w:spacing w:after="0" w:line="240" w:lineRule="auto"/>
        <w:jc w:val="center"/>
        <w:rPr>
          <w:rFonts w:eastAsia="Times New Roman" w:cstheme="minorHAnsi"/>
          <w:b/>
          <w:sz w:val="20"/>
          <w:szCs w:val="20"/>
        </w:rPr>
      </w:pPr>
    </w:p>
    <w:p w14:paraId="2CC526D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226FFB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7D3851F3" w14:textId="77777777" w:rsidR="004D4C15" w:rsidRPr="00362558" w:rsidRDefault="004D4C15" w:rsidP="006C5560">
      <w:pPr>
        <w:spacing w:after="0" w:line="240" w:lineRule="auto"/>
        <w:jc w:val="center"/>
        <w:rPr>
          <w:rFonts w:eastAsia="Times New Roman" w:cstheme="minorHAnsi"/>
          <w:b/>
          <w:sz w:val="20"/>
          <w:szCs w:val="20"/>
        </w:rPr>
      </w:pPr>
    </w:p>
    <w:p w14:paraId="626DBEFD" w14:textId="5DF19D08"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1"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Do wartości netto dodaje się podatek VAT 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1"/>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27B23B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 xml:space="preserve">0 dni od daty złożenia </w:t>
      </w:r>
      <w:r w:rsidR="00AE3802" w:rsidRPr="00362558">
        <w:rPr>
          <w:rFonts w:eastAsia="Times New Roman" w:cstheme="minorHAnsi"/>
          <w:sz w:val="20"/>
          <w:szCs w:val="20"/>
        </w:rPr>
        <w:lastRenderedPageBreak/>
        <w:t>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Strony postanawiają, że rozliczenie za roboty może być dokonywane fakturami częściowymi, na podstawie protokołów odbioru robót wykonanych.</w:t>
      </w:r>
      <w:r w:rsidR="00326975" w:rsidRPr="00362558">
        <w:rPr>
          <w:rFonts w:eastAsia="Times New Roman" w:cstheme="minorHAnsi"/>
          <w:sz w:val="20"/>
          <w:szCs w:val="20"/>
        </w:rPr>
        <w:t xml:space="preserve"> Faktury częściowe nie mogą przekroczyć 80 % wartości, o której 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42215200"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7CD2672" w14:textId="6067BCCE"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74ACC1B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4007DBA6"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07BA0BA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2291C0F0" w14:textId="77777777" w:rsidR="004D4C15" w:rsidRPr="00362558" w:rsidRDefault="004D4C15" w:rsidP="006C5560">
      <w:pPr>
        <w:spacing w:after="0" w:line="240" w:lineRule="auto"/>
        <w:jc w:val="center"/>
        <w:rPr>
          <w:rFonts w:eastAsia="Times New Roman" w:cstheme="minorHAnsi"/>
          <w:b/>
          <w:sz w:val="20"/>
          <w:szCs w:val="20"/>
        </w:rPr>
      </w:pPr>
    </w:p>
    <w:p w14:paraId="075EF844" w14:textId="7C1D7A4B"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2339C9">
        <w:rPr>
          <w:rFonts w:eastAsia="Times New Roman" w:cstheme="minorHAnsi"/>
          <w:sz w:val="20"/>
          <w:szCs w:val="20"/>
        </w:rPr>
        <w:t>36</w:t>
      </w:r>
      <w:r w:rsidR="00F96F2C" w:rsidRPr="00362558">
        <w:rPr>
          <w:rFonts w:eastAsia="Times New Roman" w:cstheme="minorHAnsi"/>
          <w:sz w:val="20"/>
          <w:szCs w:val="20"/>
        </w:rPr>
        <w:t xml:space="preserve"> </w:t>
      </w:r>
      <w:r w:rsidRPr="00362558">
        <w:rPr>
          <w:rFonts w:eastAsia="Times New Roman" w:cstheme="minorHAnsi"/>
          <w:sz w:val="20"/>
          <w:szCs w:val="20"/>
        </w:rPr>
        <w:t>m-cy</w:t>
      </w:r>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00EE61E3"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22226708"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C6C84A9" w14:textId="77777777" w:rsidR="004D4C15" w:rsidRPr="00362558" w:rsidRDefault="004D4C15" w:rsidP="006C5560">
      <w:pPr>
        <w:spacing w:after="0" w:line="240" w:lineRule="auto"/>
        <w:jc w:val="center"/>
        <w:rPr>
          <w:rFonts w:eastAsia="Times New Roman" w:cstheme="minorHAnsi"/>
          <w:b/>
          <w:sz w:val="20"/>
          <w:szCs w:val="20"/>
        </w:rPr>
      </w:pPr>
    </w:p>
    <w:p w14:paraId="4CA3771A" w14:textId="20392C7D"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6E40CBE8"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35B800C5"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lastRenderedPageBreak/>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7A2A2BA5" w14:textId="77777777" w:rsidR="004D4C15" w:rsidRPr="00362558" w:rsidRDefault="004D4C15" w:rsidP="006C5560">
      <w:pPr>
        <w:spacing w:after="0" w:line="240" w:lineRule="auto"/>
        <w:jc w:val="center"/>
        <w:rPr>
          <w:rFonts w:eastAsia="Times New Roman" w:cstheme="minorHAnsi"/>
          <w:b/>
          <w:sz w:val="20"/>
          <w:szCs w:val="20"/>
        </w:rPr>
      </w:pP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powtarzających się naruszeń wynikających z art. 29 ust 3a ustawy Pzp.</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b), c), </w:t>
      </w:r>
      <w:r w:rsidRPr="00362558">
        <w:rPr>
          <w:rFonts w:eastAsia="Times New Roman" w:cstheme="minorHAnsi"/>
          <w:sz w:val="20"/>
          <w:szCs w:val="20"/>
          <w:lang w:eastAsia="ar-SA"/>
        </w:rPr>
        <w:t>d)</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e)</w:t>
      </w:r>
      <w:r w:rsidR="007E0726" w:rsidRPr="00362558">
        <w:rPr>
          <w:rFonts w:eastAsia="Times New Roman" w:cstheme="minorHAnsi"/>
          <w:sz w:val="20"/>
          <w:szCs w:val="20"/>
          <w:lang w:eastAsia="ar-SA"/>
        </w:rPr>
        <w:t xml:space="preserve"> i f)</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3ED95A7E" w14:textId="77777777" w:rsidR="004D4C15" w:rsidRPr="00362558" w:rsidRDefault="004D4C15" w:rsidP="006C5560">
      <w:pPr>
        <w:spacing w:after="0" w:line="240" w:lineRule="auto"/>
        <w:jc w:val="center"/>
        <w:rPr>
          <w:rFonts w:eastAsia="Times New Roman" w:cstheme="minorHAnsi"/>
          <w:sz w:val="20"/>
          <w:szCs w:val="20"/>
        </w:rPr>
      </w:pPr>
    </w:p>
    <w:p w14:paraId="73A692D2" w14:textId="68836013"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lastRenderedPageBreak/>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r w:rsidR="00144B3B" w:rsidRPr="00362558">
        <w:rPr>
          <w:rFonts w:eastAsia="CenturyGothic" w:cstheme="minorHAnsi"/>
          <w:sz w:val="20"/>
          <w:szCs w:val="20"/>
        </w:rPr>
        <w:t xml:space="preserve"> </w:t>
      </w:r>
    </w:p>
    <w:p w14:paraId="739CB2F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438A06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w:t>
      </w:r>
      <w:r w:rsidRPr="00362558">
        <w:rPr>
          <w:rFonts w:cstheme="minorHAnsi"/>
          <w:sz w:val="20"/>
          <w:szCs w:val="20"/>
        </w:rPr>
        <w:lastRenderedPageBreak/>
        <w:t xml:space="preserve">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438C4E24"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36D039EA" w14:textId="41708128"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52EF7F1A"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lastRenderedPageBreak/>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400DEA12"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0D7C92BF" w14:textId="657A0DEF"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xml:space="preserve">, lub konieczność dokonania bezpośrednich zapłat na sumę większą niż 5 % wartości umowy w sprawie zamówienia publicznego może stanowić podstawę do </w:t>
      </w:r>
      <w:r w:rsidRPr="00362558">
        <w:rPr>
          <w:rFonts w:eastAsia="Times New Roman" w:cstheme="minorHAnsi"/>
          <w:sz w:val="20"/>
          <w:szCs w:val="20"/>
        </w:rPr>
        <w:lastRenderedPageBreak/>
        <w:t>odstąpienia od umowy w sprawie zamówienia publicznego przez Zamawiającego z przyczyn zależnych 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4BD50279"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3716FDD" w14:textId="77777777" w:rsidR="004D4C15" w:rsidRPr="00362558" w:rsidRDefault="004D4C15" w:rsidP="006C5560">
      <w:pPr>
        <w:spacing w:after="0" w:line="240" w:lineRule="auto"/>
        <w:jc w:val="center"/>
        <w:rPr>
          <w:rFonts w:eastAsia="Times New Roman" w:cstheme="minorHAnsi"/>
          <w:b/>
          <w:sz w:val="20"/>
          <w:szCs w:val="20"/>
        </w:rPr>
      </w:pP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1DD2DD4" w14:textId="77777777" w:rsidR="004D4C15" w:rsidRPr="00362558" w:rsidRDefault="004D4C15" w:rsidP="006C5560">
      <w:pPr>
        <w:spacing w:after="0" w:line="240" w:lineRule="auto"/>
        <w:jc w:val="center"/>
        <w:rPr>
          <w:rFonts w:eastAsia="Times New Roman" w:cstheme="minorHAnsi"/>
          <w:b/>
          <w:sz w:val="20"/>
          <w:szCs w:val="20"/>
        </w:rPr>
      </w:pPr>
    </w:p>
    <w:p w14:paraId="2E1F1445"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09D31AF"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77777777" w:rsidR="00F66AD5" w:rsidRDefault="00F66AD5" w:rsidP="00AA2206">
      <w:pPr>
        <w:jc w:val="right"/>
      </w:pPr>
    </w:p>
    <w:p w14:paraId="765D383C" w14:textId="77777777" w:rsidR="00F66AD5" w:rsidRDefault="00F66AD5" w:rsidP="00AA2206">
      <w:pPr>
        <w:jc w:val="right"/>
      </w:pPr>
    </w:p>
    <w:p w14:paraId="71435971" w14:textId="77777777" w:rsidR="00F66AD5" w:rsidRDefault="00F66AD5" w:rsidP="00AA2206">
      <w:pPr>
        <w:jc w:val="right"/>
      </w:pPr>
    </w:p>
    <w:p w14:paraId="3FCB49CC" w14:textId="77777777" w:rsidR="00F66AD5" w:rsidRDefault="00F66AD5" w:rsidP="00AA2206">
      <w:pPr>
        <w:jc w:val="right"/>
      </w:pPr>
    </w:p>
    <w:p w14:paraId="74DAF9C9" w14:textId="77777777" w:rsidR="00F66AD5" w:rsidRDefault="00F66AD5" w:rsidP="00AA2206">
      <w:pPr>
        <w:jc w:val="right"/>
      </w:pPr>
    </w:p>
    <w:p w14:paraId="0FAD9CB1" w14:textId="77777777" w:rsidR="00F66AD5" w:rsidRDefault="00F66AD5" w:rsidP="00AA2206">
      <w:pPr>
        <w:jc w:val="right"/>
      </w:pPr>
    </w:p>
    <w:p w14:paraId="2098D03E" w14:textId="5BC58795" w:rsidR="00AA2206" w:rsidRPr="008357D3" w:rsidRDefault="00352BF1" w:rsidP="00AA2206">
      <w:pPr>
        <w:jc w:val="right"/>
      </w:pPr>
      <w:r>
        <w:t>Z</w:t>
      </w:r>
      <w:bookmarkStart w:id="4" w:name="_GoBack"/>
      <w:bookmarkEnd w:id="4"/>
      <w:r w:rsidR="00AA2206" w:rsidRPr="008357D3">
        <w:t>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lastRenderedPageBreak/>
              <w:t>O każdej wadzie Uprawniony z Gwarancji powiadamia Gwaranta w następujący sposób:</w:t>
            </w:r>
          </w:p>
          <w:p w14:paraId="2AC9396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2339C9">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A5EE8" w14:textId="77777777" w:rsidR="00863468" w:rsidRDefault="00863468">
      <w:pPr>
        <w:spacing w:after="0" w:line="240" w:lineRule="auto"/>
      </w:pPr>
      <w:r>
        <w:separator/>
      </w:r>
    </w:p>
  </w:endnote>
  <w:endnote w:type="continuationSeparator" w:id="0">
    <w:p w14:paraId="513C2750" w14:textId="77777777" w:rsidR="00863468" w:rsidRDefault="0086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52BF1">
      <w:rPr>
        <w:rStyle w:val="Numerstrony"/>
        <w:noProof/>
      </w:rPr>
      <w:t>12</w:t>
    </w:r>
    <w:r>
      <w:rPr>
        <w:rStyle w:val="Numerstrony"/>
      </w:rPr>
      <w:fldChar w:fldCharType="end"/>
    </w:r>
  </w:p>
  <w:p w14:paraId="6F080DA9" w14:textId="0D486423" w:rsidR="002339C9" w:rsidRPr="00B84BFC" w:rsidRDefault="002339C9" w:rsidP="002339C9">
    <w:pPr>
      <w:pStyle w:val="Standard"/>
      <w:ind w:left="567" w:hanging="567"/>
      <w:jc w:val="center"/>
      <w:rPr>
        <w:bCs/>
        <w:sz w:val="28"/>
        <w:szCs w:val="28"/>
      </w:rPr>
    </w:pP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C06C" w14:textId="77777777" w:rsidR="00863468" w:rsidRDefault="00863468">
      <w:pPr>
        <w:spacing w:after="0" w:line="240" w:lineRule="auto"/>
      </w:pPr>
      <w:r>
        <w:separator/>
      </w:r>
    </w:p>
  </w:footnote>
  <w:footnote w:type="continuationSeparator" w:id="0">
    <w:p w14:paraId="0A99C54E" w14:textId="77777777" w:rsidR="00863468" w:rsidRDefault="00863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3"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5"/>
  </w:num>
  <w:num w:numId="2">
    <w:abstractNumId w:val="20"/>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13"/>
  </w:num>
  <w:num w:numId="8">
    <w:abstractNumId w:val="28"/>
  </w:num>
  <w:num w:numId="9">
    <w:abstractNumId w:val="3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
  </w:num>
  <w:num w:numId="13">
    <w:abstractNumId w:val="14"/>
  </w:num>
  <w:num w:numId="14">
    <w:abstractNumId w:val="3"/>
  </w:num>
  <w:num w:numId="15">
    <w:abstractNumId w:val="31"/>
  </w:num>
  <w:num w:numId="16">
    <w:abstractNumId w:val="10"/>
  </w:num>
  <w:num w:numId="17">
    <w:abstractNumId w:val="12"/>
  </w:num>
  <w:num w:numId="18">
    <w:abstractNumId w:val="7"/>
  </w:num>
  <w:num w:numId="19">
    <w:abstractNumId w:val="35"/>
  </w:num>
  <w:num w:numId="20">
    <w:abstractNumId w:val="4"/>
  </w:num>
  <w:num w:numId="21">
    <w:abstractNumId w:val="1"/>
  </w:num>
  <w:num w:numId="22">
    <w:abstractNumId w:val="17"/>
  </w:num>
  <w:num w:numId="23">
    <w:abstractNumId w:val="11"/>
  </w:num>
  <w:num w:numId="24">
    <w:abstractNumId w:val="19"/>
  </w:num>
  <w:num w:numId="25">
    <w:abstractNumId w:val="25"/>
  </w:num>
  <w:num w:numId="26">
    <w:abstractNumId w:val="26"/>
  </w:num>
  <w:num w:numId="27">
    <w:abstractNumId w:val="15"/>
  </w:num>
  <w:num w:numId="28">
    <w:abstractNumId w:val="0"/>
  </w:num>
  <w:num w:numId="29">
    <w:abstractNumId w:val="22"/>
  </w:num>
  <w:num w:numId="30">
    <w:abstractNumId w:val="30"/>
  </w:num>
  <w:num w:numId="31">
    <w:abstractNumId w:val="27"/>
  </w:num>
  <w:num w:numId="32">
    <w:abstractNumId w:val="16"/>
  </w:num>
  <w:num w:numId="33">
    <w:abstractNumId w:val="6"/>
  </w:num>
  <w:num w:numId="34">
    <w:abstractNumId w:val="34"/>
  </w:num>
  <w:num w:numId="35">
    <w:abstractNumId w:val="3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D3BE4"/>
    <w:rsid w:val="001F1630"/>
    <w:rsid w:val="001F6D1E"/>
    <w:rsid w:val="00200D0F"/>
    <w:rsid w:val="002166AA"/>
    <w:rsid w:val="002336CD"/>
    <w:rsid w:val="002339C9"/>
    <w:rsid w:val="00264926"/>
    <w:rsid w:val="00273CA6"/>
    <w:rsid w:val="002B2C6A"/>
    <w:rsid w:val="002B4151"/>
    <w:rsid w:val="002E18D3"/>
    <w:rsid w:val="00303F10"/>
    <w:rsid w:val="00307B82"/>
    <w:rsid w:val="00320ECF"/>
    <w:rsid w:val="003217C6"/>
    <w:rsid w:val="00326975"/>
    <w:rsid w:val="0034645C"/>
    <w:rsid w:val="00352BF1"/>
    <w:rsid w:val="00362558"/>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D4C15"/>
    <w:rsid w:val="004E73B2"/>
    <w:rsid w:val="004F2BAA"/>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52F66"/>
    <w:rsid w:val="006560F5"/>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807050"/>
    <w:rsid w:val="00825637"/>
    <w:rsid w:val="008357D3"/>
    <w:rsid w:val="00863468"/>
    <w:rsid w:val="00882790"/>
    <w:rsid w:val="008A6AE8"/>
    <w:rsid w:val="008B7983"/>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F1E3B"/>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71511"/>
    <w:rsid w:val="00B75E4C"/>
    <w:rsid w:val="00B8031F"/>
    <w:rsid w:val="00B837B0"/>
    <w:rsid w:val="00BA0957"/>
    <w:rsid w:val="00C07B75"/>
    <w:rsid w:val="00C2090F"/>
    <w:rsid w:val="00C30AE0"/>
    <w:rsid w:val="00C30E72"/>
    <w:rsid w:val="00C34DE3"/>
    <w:rsid w:val="00C56ADC"/>
    <w:rsid w:val="00C62996"/>
    <w:rsid w:val="00C8389E"/>
    <w:rsid w:val="00C94F9F"/>
    <w:rsid w:val="00C9511A"/>
    <w:rsid w:val="00CE2C8A"/>
    <w:rsid w:val="00D31D77"/>
    <w:rsid w:val="00D41A51"/>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2DFE-7F0C-4DF2-80C6-9B73A05E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7528</Words>
  <Characters>45174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8</cp:revision>
  <cp:lastPrinted>2021-03-24T10:25:00Z</cp:lastPrinted>
  <dcterms:created xsi:type="dcterms:W3CDTF">2021-03-24T10:16:00Z</dcterms:created>
  <dcterms:modified xsi:type="dcterms:W3CDTF">2021-05-28T07:36:00Z</dcterms:modified>
</cp:coreProperties>
</file>